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400"/>
      </w:pPr>
      <w:r>
        <w:t xml:space="preserve"/>
      </w:r>
    </w:p>
    <w:p>
      <w:pPr>
        <w:spacing w:after="100" w:before="200"/>
        <w:jc w:val="center"/>
      </w:pPr>
      <w:r>
        <w:rPr>
          <w:rFonts w:ascii="Arial" w:cs="Arial" w:eastAsia="Arial" w:hAnsi="Arial"/>
          <w:b/>
          <w:bCs/>
          <w:color w:val="1C3A5F"/>
          <w:sz w:val="28"/>
          <w:szCs w:val="28"/>
        </w:rPr>
        <w:t xml:space="preserve">CONTRATO DE ARRENDAMIENTO DE INMUEBLE</w:t>
      </w:r>
    </w:p>
    <w:p>
      <w:pPr>
        <w:spacing w:after="200" w:before="100"/>
        <w:jc w:val="center"/>
      </w:pPr>
      <w:r>
        <w:rPr>
          <w:rFonts w:ascii="Arial" w:cs="Arial" w:eastAsia="Arial" w:hAnsi="Arial"/>
          <w:i/>
          <w:iCs/>
          <w:color w:val="555555"/>
          <w:sz w:val="22"/>
          <w:szCs w:val="22"/>
        </w:rPr>
        <w:t xml:space="preserve">Uso Residencial · Legislación venezolana vigente a mayo 2026</w:t>
      </w:r>
    </w:p>
    <w:p>
      <w:pPr>
        <w:spacing w:after="400" w:before="80"/>
        <w:jc w:val="center"/>
      </w:pPr>
      <w:r>
        <w:rPr>
          <w:rFonts w:ascii="Arial" w:cs="Arial" w:eastAsia="Arial" w:hAnsi="Arial"/>
          <w:i/>
          <w:iCs/>
          <w:color w:val="888888"/>
          <w:sz w:val="18"/>
          <w:szCs w:val="18"/>
        </w:rPr>
        <w:t xml:space="preserve">Ley para la Regularización y Control de los Arrendamientos de Vivienda (LRCAV)</w:t>
      </w:r>
    </w:p>
    <w:p>
      <w:pPr>
        <w:spacing w:after="100" w:before="200"/>
      </w:pPr>
      <w:r>
        <w:rPr>
          <w:rFonts w:ascii="Arial" w:cs="Arial" w:eastAsia="Arial" w:hAnsi="Arial"/>
          <w:b/>
          <w:bCs/>
          <w:color w:val="1C3A5F"/>
          <w:sz w:val="24"/>
          <w:szCs w:val="24"/>
          <w:u w:val="single"/>
        </w:rPr>
        <w:t xml:space="preserve">DATOS DE LAS PARTES</w:t>
      </w:r>
    </w:p>
    <w:p>
      <w:pPr>
        <w:spacing w:after="60" w:before="240"/>
      </w:pPr>
      <w:r>
        <w:rPr>
          <w:rFonts w:ascii="Arial" w:cs="Arial" w:eastAsia="Arial" w:hAnsi="Arial"/>
          <w:b/>
          <w:bCs/>
          <w:color w:val="1C3A5F"/>
          <w:sz w:val="20"/>
          <w:szCs w:val="20"/>
        </w:rPr>
        <w:t xml:space="preserve">Nombre del Arrendador:</w:t>
      </w:r>
    </w:p>
    <w:p>
      <w:pPr>
        <w:pBdr>
          <w:bottom w:val="single" w:color="AAAAAA" w:sz="1"/>
        </w:pBdr>
        <w:spacing w:after="120" w:before="0"/>
      </w:pPr>
      <w:r>
        <w:rPr>
          <w:rFonts w:ascii="Arial" w:cs="Arial" w:eastAsia="Arial" w:hAnsi="Arial"/>
          <w:sz w:val="20"/>
          <w:szCs w:val="20"/>
        </w:rPr>
        <w:t xml:space="preserve"> </w:t>
      </w:r>
    </w:p>
    <w:p>
      <w:pPr>
        <w:spacing w:after="60" w:before="240"/>
      </w:pPr>
      <w:r>
        <w:rPr>
          <w:rFonts w:ascii="Arial" w:cs="Arial" w:eastAsia="Arial" w:hAnsi="Arial"/>
          <w:b/>
          <w:bCs/>
          <w:color w:val="1C3A5F"/>
          <w:sz w:val="20"/>
          <w:szCs w:val="20"/>
        </w:rPr>
        <w:t xml:space="preserve">Cédula de Identidad del Arrendador:</w:t>
      </w:r>
    </w:p>
    <w:p>
      <w:pPr>
        <w:pBdr>
          <w:bottom w:val="single" w:color="AAAAAA" w:sz="1"/>
        </w:pBdr>
        <w:spacing w:after="120" w:before="0"/>
      </w:pPr>
      <w:r>
        <w:rPr>
          <w:rFonts w:ascii="Arial" w:cs="Arial" w:eastAsia="Arial" w:hAnsi="Arial"/>
          <w:sz w:val="20"/>
          <w:szCs w:val="20"/>
        </w:rPr>
        <w:t xml:space="preserve"> </w:t>
      </w:r>
    </w:p>
    <w:p>
      <w:pPr>
        <w:spacing w:after="60" w:before="240"/>
      </w:pPr>
      <w:r>
        <w:rPr>
          <w:rFonts w:ascii="Arial" w:cs="Arial" w:eastAsia="Arial" w:hAnsi="Arial"/>
          <w:b/>
          <w:bCs/>
          <w:color w:val="1C3A5F"/>
          <w:sz w:val="20"/>
          <w:szCs w:val="20"/>
        </w:rPr>
        <w:t xml:space="preserve">Nombre del Arrendatario:</w:t>
      </w:r>
    </w:p>
    <w:p>
      <w:pPr>
        <w:pBdr>
          <w:bottom w:val="single" w:color="AAAAAA" w:sz="1"/>
        </w:pBdr>
        <w:spacing w:after="120" w:before="0"/>
      </w:pPr>
      <w:r>
        <w:rPr>
          <w:rFonts w:ascii="Arial" w:cs="Arial" w:eastAsia="Arial" w:hAnsi="Arial"/>
          <w:sz w:val="20"/>
          <w:szCs w:val="20"/>
        </w:rPr>
        <w:t xml:space="preserve"> </w:t>
      </w:r>
    </w:p>
    <w:p>
      <w:pPr>
        <w:spacing w:after="60" w:before="240"/>
      </w:pPr>
      <w:r>
        <w:rPr>
          <w:rFonts w:ascii="Arial" w:cs="Arial" w:eastAsia="Arial" w:hAnsi="Arial"/>
          <w:b/>
          <w:bCs/>
          <w:color w:val="1C3A5F"/>
          <w:sz w:val="20"/>
          <w:szCs w:val="20"/>
        </w:rPr>
        <w:t xml:space="preserve">Cédula de Identidad del Arrendatario:</w:t>
      </w:r>
    </w:p>
    <w:p>
      <w:pPr>
        <w:pBdr>
          <w:bottom w:val="single" w:color="AAAAAA" w:sz="1"/>
        </w:pBdr>
        <w:spacing w:after="120" w:before="0"/>
      </w:pPr>
      <w:r>
        <w:rPr>
          <w:rFonts w:ascii="Arial" w:cs="Arial" w:eastAsia="Arial" w:hAnsi="Arial"/>
          <w:sz w:val="20"/>
          <w:szCs w:val="20"/>
        </w:rPr>
        <w:t xml:space="preserve"> </w:t>
      </w:r>
    </w:p>
    <w:p>
      <w:pPr>
        <w:spacing w:after="60" w:before="240"/>
      </w:pPr>
      <w:r>
        <w:rPr>
          <w:rFonts w:ascii="Arial" w:cs="Arial" w:eastAsia="Arial" w:hAnsi="Arial"/>
          <w:b/>
          <w:bCs/>
          <w:color w:val="1C3A5F"/>
          <w:sz w:val="20"/>
          <w:szCs w:val="20"/>
        </w:rPr>
        <w:t xml:space="preserve">Dirección del Inmueble Arrendado:</w:t>
      </w:r>
    </w:p>
    <w:p>
      <w:pPr>
        <w:pBdr>
          <w:bottom w:val="single" w:color="AAAAAA" w:sz="1"/>
        </w:pBdr>
        <w:spacing w:after="120" w:before="0"/>
      </w:pPr>
      <w:r>
        <w:rPr>
          <w:rFonts w:ascii="Arial" w:cs="Arial" w:eastAsia="Arial" w:hAnsi="Arial"/>
          <w:sz w:val="20"/>
          <w:szCs w:val="20"/>
        </w:rPr>
        <w:t xml:space="preserve"> </w:t>
      </w:r>
    </w:p>
    <w:p>
      <w:pPr>
        <w:spacing w:after="60" w:before="240"/>
      </w:pPr>
      <w:r>
        <w:rPr>
          <w:rFonts w:ascii="Arial" w:cs="Arial" w:eastAsia="Arial" w:hAnsi="Arial"/>
          <w:b/>
          <w:bCs/>
          <w:color w:val="1C3A5F"/>
          <w:sz w:val="20"/>
          <w:szCs w:val="20"/>
        </w:rPr>
        <w:t xml:space="preserve">Parroquia / Municipio / Estado:</w:t>
      </w:r>
    </w:p>
    <w:p>
      <w:pPr>
        <w:pBdr>
          <w:bottom w:val="single" w:color="AAAAAA" w:sz="1"/>
        </w:pBdr>
        <w:spacing w:after="120" w:before="0"/>
      </w:pPr>
      <w:r>
        <w:rPr>
          <w:rFonts w:ascii="Arial" w:cs="Arial" w:eastAsia="Arial" w:hAnsi="Arial"/>
          <w:sz w:val="20"/>
          <w:szCs w:val="20"/>
        </w:rPr>
        <w:t xml:space="preserve"> </w:t>
      </w:r>
    </w:p>
    <w:p>
      <w:pPr>
        <w:spacing w:after="100" w:before="300"/>
      </w:pPr>
      <w:r>
        <w:rPr>
          <w:rFonts w:ascii="Arial" w:cs="Arial" w:eastAsia="Arial" w:hAnsi="Arial"/>
          <w:b/>
          <w:bCs/>
          <w:color w:val="1C3A5F"/>
          <w:sz w:val="24"/>
          <w:szCs w:val="24"/>
          <w:u w:val="single"/>
        </w:rPr>
        <w:t xml:space="preserve">TÉRMINOS Y CONDICIONES</w:t>
      </w:r>
    </w:p>
    <w:p>
      <w:pPr>
        <w:spacing w:after="60" w:before="240"/>
      </w:pPr>
      <w:r>
        <w:rPr>
          <w:rFonts w:ascii="Arial" w:cs="Arial" w:eastAsia="Arial" w:hAnsi="Arial"/>
          <w:b/>
          <w:bCs/>
          <w:color w:val="1C3A5F"/>
          <w:sz w:val="22"/>
          <w:szCs w:val="22"/>
        </w:rPr>
        <w:t xml:space="preserve">CLÁUSULA PRIMERA — OBJETO DEL CONTRATO</w:t>
      </w:r>
    </w:p>
    <w:p>
      <w:pPr>
        <w:spacing w:after="120" w:before="60"/>
        <w:jc w:val="both"/>
      </w:pPr>
      <w:r>
        <w:rPr>
          <w:rFonts w:ascii="Arial" w:cs="Arial" w:eastAsia="Arial" w:hAnsi="Arial"/>
          <w:sz w:val="20"/>
          <w:szCs w:val="20"/>
        </w:rPr>
        <w:t xml:space="preserve">El ARRENDADOR da en arrendamiento al ARRENDATARIO, quien lo acepta en dicho carácter, el inmueble identificado en el encabezado del presente contrato, destinado exclusivamente para uso residencial, conforme a lo establecido en el Artículo 6 de la Ley para la Regularización y Control de los Arrendamientos de Vivienda (LRCAV).</w:t>
      </w:r>
    </w:p>
    <w:p>
      <w:pPr>
        <w:spacing w:after="60" w:before="240"/>
      </w:pPr>
      <w:r>
        <w:rPr>
          <w:rFonts w:ascii="Arial" w:cs="Arial" w:eastAsia="Arial" w:hAnsi="Arial"/>
          <w:b/>
          <w:bCs/>
          <w:color w:val="1C3A5F"/>
          <w:sz w:val="22"/>
          <w:szCs w:val="22"/>
        </w:rPr>
        <w:t xml:space="preserve">CLÁUSULA SEGUNDA — DURACIÓN DEL CONTRATO</w:t>
      </w:r>
    </w:p>
    <w:p>
      <w:pPr>
        <w:spacing w:after="120" w:before="60"/>
        <w:jc w:val="both"/>
      </w:pPr>
      <w:r>
        <w:rPr>
          <w:rFonts w:ascii="Arial" w:cs="Arial" w:eastAsia="Arial" w:hAnsi="Arial"/>
          <w:sz w:val="20"/>
          <w:szCs w:val="20"/>
        </w:rPr>
        <w:t xml:space="preserve">El presente contrato tendrá una duración de UN (01) AÑO, contado a partir de la fecha de su firma, con posibilidad de prórroga legal conforme al Artículo 38 de la LRCAV. Vencido el plazo, si ninguna de las partes manifiesta su voluntad de no renovar con al menos treinta (30) días de anticipación, el contrato se considerará renovado por el mismo lapso. La prórroga legal es obligatoria para el arrendador y potestativa para el arrendatario.</w:t>
      </w:r>
    </w:p>
    <w:p>
      <w:pPr>
        <w:spacing w:after="60" w:before="240"/>
      </w:pPr>
      <w:r>
        <w:rPr>
          <w:rFonts w:ascii="Arial" w:cs="Arial" w:eastAsia="Arial" w:hAnsi="Arial"/>
          <w:b/>
          <w:bCs/>
          <w:color w:val="1C3A5F"/>
          <w:sz w:val="22"/>
          <w:szCs w:val="22"/>
        </w:rPr>
        <w:t xml:space="preserve">CLÁUSULA TERCERA — CANON DE ARRENDAMIENTO</w:t>
      </w:r>
    </w:p>
    <w:p>
      <w:pPr>
        <w:spacing w:after="120" w:before="60"/>
        <w:jc w:val="both"/>
      </w:pPr>
      <w:r>
        <w:rPr>
          <w:rFonts w:ascii="Arial" w:cs="Arial" w:eastAsia="Arial" w:hAnsi="Arial"/>
          <w:sz w:val="20"/>
          <w:szCs w:val="20"/>
        </w:rPr>
        <w:t xml:space="preserve">El canon mensual de arrendamiento se fija en la cantidad de __________________ DÓLARES DE LOS ESTADOS UNIDOS DE AMÉRICA (USD ________), pagadero los primeros cinco (05) días de cada mes, de conformidad con el Artículo 128 de la Ley del Banco Central de Venezuela y el Convenio Cambiario N° 1, o su equivalente en Bolívares a la tasa oficial del BCV vigente al momento del pago. NOTA: Para inmuebles de USO RESIDENCIAL, el canon debe ser aprobado por la Superintendencia Nacional de Arrendamiento de Vivienda (SUNAVI).</w:t>
      </w:r>
    </w:p>
    <w:p>
      <w:pPr>
        <w:spacing w:after="60" w:before="240"/>
      </w:pPr>
      <w:r>
        <w:rPr>
          <w:rFonts w:ascii="Arial" w:cs="Arial" w:eastAsia="Arial" w:hAnsi="Arial"/>
          <w:b/>
          <w:bCs/>
          <w:color w:val="1C3A5F"/>
          <w:sz w:val="22"/>
          <w:szCs w:val="22"/>
        </w:rPr>
        <w:t xml:space="preserve">CLÁUSULA CUARTA — LUGAR Y FORMA DE PAGO</w:t>
      </w:r>
    </w:p>
    <w:p>
      <w:pPr>
        <w:spacing w:after="120" w:before="60"/>
        <w:jc w:val="both"/>
      </w:pPr>
      <w:r>
        <w:rPr>
          <w:rFonts w:ascii="Arial" w:cs="Arial" w:eastAsia="Arial" w:hAnsi="Arial"/>
          <w:sz w:val="20"/>
          <w:szCs w:val="20"/>
        </w:rPr>
        <w:t xml:space="preserve">El pago del canon de arrendamiento se realizará mediante transferencia bancaria a la cuenta del ARRENDADOR o a través de ILC Consultores Inmobiliarios en su carácter de administrador, a la cuenta que se indique por escrito. El ARRENDATARIO deberá conservar comprobantes de pago durante toda la vigencia del contrato y por dos (02) años adicionales.</w:t>
      </w:r>
    </w:p>
    <w:p>
      <w:pPr>
        <w:spacing w:after="60" w:before="240"/>
      </w:pPr>
      <w:r>
        <w:rPr>
          <w:rFonts w:ascii="Arial" w:cs="Arial" w:eastAsia="Arial" w:hAnsi="Arial"/>
          <w:b/>
          <w:bCs/>
          <w:color w:val="1C3A5F"/>
          <w:sz w:val="22"/>
          <w:szCs w:val="22"/>
        </w:rPr>
        <w:t xml:space="preserve">CLÁUSULA QUINTA — DEPÓSITO EN GARANTÍA</w:t>
      </w:r>
    </w:p>
    <w:p>
      <w:pPr>
        <w:spacing w:after="120" w:before="60"/>
        <w:jc w:val="both"/>
      </w:pPr>
      <w:r>
        <w:rPr>
          <w:rFonts w:ascii="Arial" w:cs="Arial" w:eastAsia="Arial" w:hAnsi="Arial"/>
          <w:sz w:val="20"/>
          <w:szCs w:val="20"/>
        </w:rPr>
        <w:t xml:space="preserve">El ARRENDATARIO entrega en este acto la cantidad equivalente a DOS (02) meses de canon de arrendamiento como depósito en garantía, el cual será devuelto al término del contrato, previa verificación del estado del inmueble y solvencia de pagos, sin intereses, conforme al Artículo 22 de la LRCAV. Queda expresamente prohibido el cobro simultáneo de depósito y fianza (doble garantía).</w:t>
      </w:r>
    </w:p>
    <w:p>
      <w:pPr>
        <w:spacing w:after="60" w:before="240"/>
      </w:pPr>
      <w:r>
        <w:rPr>
          <w:rFonts w:ascii="Arial" w:cs="Arial" w:eastAsia="Arial" w:hAnsi="Arial"/>
          <w:b/>
          <w:bCs/>
          <w:color w:val="1C3A5F"/>
          <w:sz w:val="22"/>
          <w:szCs w:val="22"/>
        </w:rPr>
        <w:t xml:space="preserve">CLÁUSULA SEXTA — SERVICIOS Y MANTENIMIENTO</w:t>
      </w:r>
    </w:p>
    <w:p>
      <w:pPr>
        <w:spacing w:after="120" w:before="60"/>
        <w:jc w:val="both"/>
      </w:pPr>
      <w:r>
        <w:rPr>
          <w:rFonts w:ascii="Arial" w:cs="Arial" w:eastAsia="Arial" w:hAnsi="Arial"/>
          <w:sz w:val="20"/>
          <w:szCs w:val="20"/>
        </w:rPr>
        <w:t xml:space="preserve">Los servicios públicos (electricidad, agua, aseo urbano, gas, internet y teléfono) correrán por cuenta exclusiva del ARRENDATARIO, quien deberá mantenerlos solventes. El ARRENDATARIO se compromete a conservar el inmueble en buen estado, realizando las reparaciones menores a su cargo. Las reparaciones mayores corresponden al ARRENDADOR, salvo que el deterioro sea causado por negligencia del ARRENDATARIO.</w:t>
      </w:r>
    </w:p>
    <w:p>
      <w:pPr>
        <w:spacing w:after="60" w:before="240"/>
      </w:pPr>
      <w:r>
        <w:rPr>
          <w:rFonts w:ascii="Arial" w:cs="Arial" w:eastAsia="Arial" w:hAnsi="Arial"/>
          <w:b/>
          <w:bCs/>
          <w:color w:val="1C3A5F"/>
          <w:sz w:val="22"/>
          <w:szCs w:val="22"/>
        </w:rPr>
        <w:t xml:space="preserve">CLÁUSULA SÉPTIMA — PROHIBICIÓN DE SUBARRENDAR</w:t>
      </w:r>
    </w:p>
    <w:p>
      <w:pPr>
        <w:spacing w:after="120" w:before="60"/>
        <w:jc w:val="both"/>
      </w:pPr>
      <w:r>
        <w:rPr>
          <w:rFonts w:ascii="Arial" w:cs="Arial" w:eastAsia="Arial" w:hAnsi="Arial"/>
          <w:sz w:val="20"/>
          <w:szCs w:val="20"/>
        </w:rPr>
        <w:t xml:space="preserve">El ARRENDATARIO no podrá subarrendar total ni parcialmente el inmueble objeto de este contrato, ni cederlo a terceros, sin la autorización expresa y escrita del ARRENDADOR, so pena de resolución inmediata del contrato, conforme al Artículo 15 de la LRCAV.</w:t>
      </w:r>
    </w:p>
    <w:p>
      <w:pPr>
        <w:spacing w:after="60" w:before="240"/>
      </w:pPr>
      <w:r>
        <w:rPr>
          <w:rFonts w:ascii="Arial" w:cs="Arial" w:eastAsia="Arial" w:hAnsi="Arial"/>
          <w:b/>
          <w:bCs/>
          <w:color w:val="1C3A5F"/>
          <w:sz w:val="22"/>
          <w:szCs w:val="22"/>
        </w:rPr>
        <w:t xml:space="preserve">CLÁUSULA OCTAVA — USO DEL INMUEBLE</w:t>
      </w:r>
    </w:p>
    <w:p>
      <w:pPr>
        <w:spacing w:after="120" w:before="60"/>
        <w:jc w:val="both"/>
      </w:pPr>
      <w:r>
        <w:rPr>
          <w:rFonts w:ascii="Arial" w:cs="Arial" w:eastAsia="Arial" w:hAnsi="Arial"/>
          <w:sz w:val="20"/>
          <w:szCs w:val="20"/>
        </w:rPr>
        <w:t xml:space="preserve">El ARRENDATARIO se compromete a destinar el inmueble única y exclusivamente para uso residencial. Queda expresamente prohibido el ejercicio de actividades comerciales, industriales o de cualquier otra índole que contravenga las ordenanzas municipales o perturbe la tranquilidad de los vecinos.</w:t>
      </w:r>
    </w:p>
    <w:p>
      <w:pPr>
        <w:spacing w:after="60" w:before="240"/>
      </w:pPr>
      <w:r>
        <w:rPr>
          <w:rFonts w:ascii="Arial" w:cs="Arial" w:eastAsia="Arial" w:hAnsi="Arial"/>
          <w:b/>
          <w:bCs/>
          <w:color w:val="1C3A5F"/>
          <w:sz w:val="22"/>
          <w:szCs w:val="22"/>
        </w:rPr>
        <w:t xml:space="preserve">CLÁUSULA NOVENA — INSPECCIONES</w:t>
      </w:r>
    </w:p>
    <w:p>
      <w:pPr>
        <w:spacing w:after="120" w:before="60"/>
        <w:jc w:val="both"/>
      </w:pPr>
      <w:r>
        <w:rPr>
          <w:rFonts w:ascii="Arial" w:cs="Arial" w:eastAsia="Arial" w:hAnsi="Arial"/>
          <w:sz w:val="20"/>
          <w:szCs w:val="20"/>
        </w:rPr>
        <w:t xml:space="preserve">El ARRENDADOR o ILC Consultores Inmobiliarios, en su carácter de administrador, podrán inspeccionar el inmueble con previo aviso de cuarenta y ocho (48) horas, a fin de verificar su estado de conservación. El ARRENDATARIO facilitará el acceso en horario convenido entre las partes.</w:t>
      </w:r>
    </w:p>
    <w:p>
      <w:pPr>
        <w:spacing w:after="60" w:before="240"/>
      </w:pPr>
      <w:r>
        <w:rPr>
          <w:rFonts w:ascii="Arial" w:cs="Arial" w:eastAsia="Arial" w:hAnsi="Arial"/>
          <w:b/>
          <w:bCs/>
          <w:color w:val="1C3A5F"/>
          <w:sz w:val="22"/>
          <w:szCs w:val="22"/>
        </w:rPr>
        <w:t xml:space="preserve">CLÁUSULA DÉCIMA — CAUSAS DE RESOLUCIÓN Y DESALOJO</w:t>
      </w:r>
    </w:p>
    <w:p>
      <w:pPr>
        <w:spacing w:after="120" w:before="60"/>
        <w:jc w:val="both"/>
      </w:pPr>
      <w:r>
        <w:rPr>
          <w:rFonts w:ascii="Arial" w:cs="Arial" w:eastAsia="Arial" w:hAnsi="Arial"/>
          <w:sz w:val="20"/>
          <w:szCs w:val="20"/>
        </w:rPr>
        <w:t xml:space="preserve">Serán causas de resolución del presente contrato, además de las previstas en el Código Civil venezolano: a) La falta de pago del canon por más de dos (02) mensualidades consecutivas; b) El subarrendamiento no autorizado; c) El uso del inmueble para fines distintos al residencial; d) Los daños causados dolosamente al inmueble; e) La realización de obras o modificaciones sin autorización escrita del ARRENDADOR. El desalojo se tramitará conforme al procedimiento establecido en la LRCAV ante el Tribunal correspondiente.</w:t>
      </w:r>
    </w:p>
    <w:p>
      <w:pPr>
        <w:spacing w:after="60" w:before="240"/>
      </w:pPr>
      <w:r>
        <w:rPr>
          <w:rFonts w:ascii="Arial" w:cs="Arial" w:eastAsia="Arial" w:hAnsi="Arial"/>
          <w:b/>
          <w:bCs/>
          <w:color w:val="1C3A5F"/>
          <w:sz w:val="22"/>
          <w:szCs w:val="22"/>
        </w:rPr>
        <w:t xml:space="preserve">CLÁUSULA DÉCIMA PRIMERA — ADMINISTRACIÓN — ILC CONSULTORES INMOBILIARIOS</w:t>
      </w:r>
    </w:p>
    <w:p>
      <w:pPr>
        <w:spacing w:after="120" w:before="60"/>
        <w:jc w:val="both"/>
      </w:pPr>
      <w:r>
        <w:rPr>
          <w:rFonts w:ascii="Arial" w:cs="Arial" w:eastAsia="Arial" w:hAnsi="Arial"/>
          <w:sz w:val="20"/>
          <w:szCs w:val="20"/>
        </w:rPr>
        <w:t xml:space="preserve">El ARRENDADOR ha conferido mandato de administración a ILC CONSULTORES INMOBILIARIOS — Braulio Jatar &amp; Asociados, con facultades para: cobrar cánones, recibir y tramitar reclamos del ARRENDATARIO, coordinar mantenimientos, notificar incumplimientos y representar al ARRENDADOR ante organismos públicos relacionados con el inmueble arrendado. Las comunicaciones dirigidas a ILC Consultores Inmobiliarios tendrán el mismo efecto legal que las dirigidas directamente al ARRENDADOR.</w:t>
      </w:r>
    </w:p>
    <w:p>
      <w:pPr>
        <w:spacing w:after="60" w:before="240"/>
      </w:pPr>
      <w:r>
        <w:rPr>
          <w:rFonts w:ascii="Arial" w:cs="Arial" w:eastAsia="Arial" w:hAnsi="Arial"/>
          <w:b/>
          <w:bCs/>
          <w:color w:val="1C3A5F"/>
          <w:sz w:val="22"/>
          <w:szCs w:val="22"/>
        </w:rPr>
        <w:t xml:space="preserve">CLÁUSULA DÉCIMA SEGUNDA — JURISDICCIÓN Y COMPETENCIA</w:t>
      </w:r>
    </w:p>
    <w:p>
      <w:pPr>
        <w:spacing w:after="120" w:before="60"/>
        <w:jc w:val="both"/>
      </w:pPr>
      <w:r>
        <w:rPr>
          <w:rFonts w:ascii="Arial" w:cs="Arial" w:eastAsia="Arial" w:hAnsi="Arial"/>
          <w:sz w:val="20"/>
          <w:szCs w:val="20"/>
        </w:rPr>
        <w:t xml:space="preserve">Para todo lo no previsto en el presente contrato, las partes se someten a las disposiciones de la Ley para la Regularización y Control de los Arrendamientos de Vivienda, el Código Civil venezolano y demás normas aplicables. Cualquier controversia será sometida a los Tribunales competentes del Estado Nueva Esparta, Isla de Margarita, renunciando las partes expresamente a cualquier otro fuero o jurisdicción.</w:t>
      </w:r>
    </w:p>
    <w:p>
      <w:pPr>
        <w:spacing w:after="200" w:before="300"/>
        <w:jc w:val="both"/>
      </w:pPr>
      <w:r>
        <w:rPr>
          <w:rFonts w:ascii="Arial" w:cs="Arial" w:eastAsia="Arial" w:hAnsi="Arial"/>
          <w:sz w:val="20"/>
          <w:szCs w:val="20"/>
        </w:rPr>
        <w:t xml:space="preserve">En fe de lo cual, las partes firman el presente contrato en dos (02) ejemplares de igual tenor y valor, en la Isla de Margarita, Estado Nueva Esparta, República Bolivariana de Venezuela, a los _____ días del mes de ______________ del año 2026.</w:t>
      </w:r>
    </w:p>
    <w:p>
      <w:pPr>
        <w:spacing w:after="0" w:before="100"/>
      </w:pPr>
      <w:r>
        <w:rPr>
          <w:sz w:val="20"/>
          <w:szCs w:val="20"/>
        </w:rPr>
        <w:t xml:space="preserve"> </w:t>
      </w:r>
    </w:p>
    <w:p>
      <w:pPr>
        <w:spacing w:after="60" w:before="600"/>
        <w:jc w:val="left"/>
      </w:pPr>
      <w:r>
        <w:rPr>
          <w:rFonts w:ascii="Arial" w:cs="Arial" w:eastAsia="Arial" w:hAnsi="Arial"/>
          <w:sz w:val="20"/>
          <w:szCs w:val="20"/>
        </w:rPr>
        <w:t xml:space="preserve">_______________________________          _______________________________</w:t>
      </w:r>
    </w:p>
    <w:p>
      <w:pPr>
        <w:spacing w:after="20" w:before="40"/>
        <w:jc w:val="left"/>
      </w:pPr>
      <w:r>
        <w:rPr>
          <w:rFonts w:ascii="Arial" w:cs="Arial" w:eastAsia="Arial" w:hAnsi="Arial"/>
          <w:b/>
          <w:bCs/>
          <w:sz w:val="20"/>
          <w:szCs w:val="20"/>
        </w:rPr>
        <w:t xml:space="preserve">EL ARRENDADOR                              EL ARRENDATARIO</w:t>
      </w:r>
    </w:p>
    <w:p>
      <w:pPr>
        <w:spacing w:after="200" w:before="0"/>
        <w:jc w:val="left"/>
      </w:pPr>
      <w:r>
        <w:rPr>
          <w:rFonts w:ascii="Arial" w:cs="Arial" w:eastAsia="Arial" w:hAnsi="Arial"/>
          <w:color w:val="777777"/>
          <w:sz w:val="18"/>
          <w:szCs w:val="18"/>
        </w:rPr>
        <w:t xml:space="preserve">C.I.: _____________________               C.I.: _____________________</w:t>
      </w:r>
    </w:p>
    <w:p>
      <w:pPr>
        <w:pBdr>
          <w:top w:val="single" w:color="C9982A" w:sz="4"/>
        </w:pBdr>
        <w:spacing w:after="60" w:before="300"/>
        <w:jc w:val="center"/>
      </w:pPr>
      <w:r>
        <w:rPr>
          <w:sz w:val="20"/>
          <w:szCs w:val="20"/>
        </w:rPr>
        <w:t xml:space="preserve"> </w:t>
      </w:r>
    </w:p>
    <w:p>
      <w:pPr>
        <w:spacing w:after="40" w:before="60"/>
        <w:jc w:val="center"/>
      </w:pPr>
      <w:r>
        <w:rPr>
          <w:rFonts w:ascii="Arial" w:cs="Arial" w:eastAsia="Arial" w:hAnsi="Arial"/>
          <w:b/>
          <w:bCs/>
          <w:color w:val="1C3A5F"/>
          <w:sz w:val="20"/>
          <w:szCs w:val="20"/>
        </w:rPr>
        <w:t xml:space="preserve">ILC CONSULTORES INMOBILIARIOS — Administrador</w:t>
      </w:r>
    </w:p>
    <w:p>
      <w:pPr>
        <w:spacing w:after="40" w:before="0"/>
        <w:jc w:val="center"/>
      </w:pPr>
      <w:r>
        <w:rPr>
          <w:rFonts w:ascii="Arial" w:cs="Arial" w:eastAsia="Arial" w:hAnsi="Arial"/>
          <w:i/>
          <w:iCs/>
          <w:color w:val="777777"/>
          <w:sz w:val="18"/>
          <w:szCs w:val="18"/>
        </w:rPr>
        <w:t xml:space="preserve">Braulio Jatar &amp; Asociados</w:t>
      </w:r>
    </w:p>
    <w:p>
      <w:pPr>
        <w:spacing w:after="0" w:before="400"/>
        <w:jc w:val="center"/>
      </w:pPr>
      <w:r>
        <w:rPr>
          <w:rFonts w:ascii="Arial" w:cs="Arial" w:eastAsia="Arial" w:hAnsi="Arial"/>
          <w:sz w:val="20"/>
          <w:szCs w:val="20"/>
        </w:rPr>
        <w:t xml:space="preserve">_______________________________</w:t>
      </w:r>
    </w:p>
    <w:p>
      <w:pPr>
        <w:spacing w:after="20" w:before="40"/>
        <w:jc w:val="center"/>
      </w:pPr>
      <w:r>
        <w:rPr>
          <w:rFonts w:ascii="Arial" w:cs="Arial" w:eastAsia="Arial" w:hAnsi="Arial"/>
          <w:color w:val="777777"/>
          <w:sz w:val="18"/>
          <w:szCs w:val="18"/>
        </w:rPr>
        <w:t xml:space="preserve">Firma y Sello</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982A" w:sz="2"/>
      </w:pBdr>
      <w:spacing w:before="80"/>
      <w:jc w:val="center"/>
    </w:pPr>
    <w:r>
      <w:rPr>
        <w:rFonts w:ascii="Arial" w:cs="Arial" w:eastAsia="Arial" w:hAnsi="Arial"/>
        <w:color w:val="999999"/>
        <w:sz w:val="16"/>
        <w:szCs w:val="16"/>
      </w:rPr>
      <w:t xml:space="preserve">ILC Consultores Inmobiliarios  |  info@ilcconsultoresinmobiliarios.com  |  Isla de Margarita, Venezuela  |  Mayo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982A" w:sz="4"/>
      </w:pBdr>
      <w:spacing w:after="120"/>
      <w:jc w:val="center"/>
    </w:pPr>
    <w:r>
      <w:rPr>
        <w:rFonts w:ascii="Arial" w:cs="Arial" w:eastAsia="Arial" w:hAnsi="Arial"/>
        <w:b/>
        <w:bCs/>
        <w:color w:val="1C3A5F"/>
        <w:sz w:val="22"/>
        <w:szCs w:val="22"/>
      </w:rPr>
      <w:t xml:space="preserve">ILC CONSULTORES INMOBILIARIOS</w:t>
    </w:r>
    <w:r>
      <w:rPr>
        <w:rFonts w:ascii="Arial" w:cs="Arial" w:eastAsia="Arial" w:hAnsi="Arial"/>
        <w:color w:val="777777"/>
        <w:sz w:val="18"/>
        <w:szCs w:val="18"/>
      </w:rPr>
      <w:t xml:space="preserve">  ·  Braulio Jatar &amp; Asociados  ·  Isla de Margarita, Venezuela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2026-05-27T19:14:06.722Z</dcterms:created>
  <dcterms:modified xsi:type="dcterms:W3CDTF">2026-05-27T19:14:06.739Z</dcterms:modified>
</cp:coreProperties>
</file>

<file path=docProps/custom.xml><?xml version="1.0" encoding="utf-8"?>
<Properties xmlns="http://schemas.openxmlformats.org/officeDocument/2006/custom-properties" xmlns:vt="http://schemas.openxmlformats.org/officeDocument/2006/docPropsVTypes"/>
</file>